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B4" w:rsidRPr="00486AB4" w:rsidRDefault="00486AB4" w:rsidP="00486AB4">
      <w:pPr>
        <w:shd w:val="clear" w:color="auto" w:fill="FFFFFF"/>
        <w:spacing w:after="120" w:line="630" w:lineRule="atLeast"/>
        <w:jc w:val="center"/>
        <w:outlineLvl w:val="0"/>
        <w:rPr>
          <w:rFonts w:eastAsia="Times New Roman" w:cstheme="minorHAnsi"/>
          <w:b/>
          <w:spacing w:val="-30"/>
          <w:kern w:val="36"/>
          <w:sz w:val="28"/>
          <w:szCs w:val="28"/>
          <w:lang w:eastAsia="es-MX"/>
        </w:rPr>
      </w:pPr>
      <w:r w:rsidRPr="00486AB4">
        <w:rPr>
          <w:rFonts w:eastAsia="Times New Roman" w:cstheme="minorHAnsi"/>
          <w:b/>
          <w:spacing w:val="-30"/>
          <w:kern w:val="36"/>
          <w:sz w:val="28"/>
          <w:szCs w:val="28"/>
          <w:lang w:eastAsia="es-MX"/>
        </w:rPr>
        <w:t>NIEGA SEMARNAT PERMISOS A MINERA AUTLÁN EN TLATALUQUITEPEC</w:t>
      </w:r>
    </w:p>
    <w:p w:rsidR="00486AB4" w:rsidRPr="00486AB4" w:rsidRDefault="00486AB4" w:rsidP="00486AB4">
      <w:pPr>
        <w:shd w:val="clear" w:color="auto" w:fill="FFFFFF"/>
        <w:spacing w:after="0" w:line="300" w:lineRule="atLeast"/>
        <w:rPr>
          <w:rFonts w:eastAsia="Times New Roman" w:cstheme="minorHAnsi"/>
          <w:b/>
          <w:sz w:val="24"/>
          <w:szCs w:val="24"/>
          <w:lang w:eastAsia="es-MX"/>
        </w:rPr>
      </w:pPr>
      <w:r w:rsidRPr="00486AB4">
        <w:rPr>
          <w:rFonts w:eastAsia="Times New Roman" w:cstheme="minorHAnsi"/>
          <w:b/>
          <w:sz w:val="24"/>
          <w:szCs w:val="24"/>
          <w:lang w:eastAsia="es-MX"/>
        </w:rPr>
        <w:t xml:space="preserve">Guadalupe </w:t>
      </w:r>
      <w:proofErr w:type="spellStart"/>
      <w:r w:rsidRPr="00486AB4">
        <w:rPr>
          <w:rFonts w:eastAsia="Times New Roman" w:cstheme="minorHAnsi"/>
          <w:b/>
          <w:sz w:val="24"/>
          <w:szCs w:val="24"/>
          <w:lang w:eastAsia="es-MX"/>
        </w:rPr>
        <w:t>Galvez</w:t>
      </w:r>
      <w:proofErr w:type="spellEnd"/>
      <w:r w:rsidRPr="00486AB4">
        <w:rPr>
          <w:rFonts w:eastAsia="Times New Roman" w:cstheme="minorHAnsi"/>
          <w:b/>
          <w:sz w:val="24"/>
          <w:szCs w:val="24"/>
          <w:lang w:eastAsia="es-MX"/>
        </w:rPr>
        <w:t xml:space="preserve"> // La Jornada de Oriente            </w:t>
      </w:r>
      <w:r>
        <w:rPr>
          <w:rFonts w:eastAsia="Times New Roman" w:cstheme="minorHAnsi"/>
          <w:b/>
          <w:sz w:val="24"/>
          <w:szCs w:val="24"/>
          <w:lang w:eastAsia="es-MX"/>
        </w:rPr>
        <w:t xml:space="preserve">                  </w:t>
      </w:r>
      <w:r w:rsidRPr="00486AB4">
        <w:rPr>
          <w:rFonts w:eastAsia="Times New Roman" w:cstheme="minorHAnsi"/>
          <w:b/>
          <w:sz w:val="24"/>
          <w:szCs w:val="24"/>
          <w:lang w:eastAsia="es-MX"/>
        </w:rPr>
        <w:t xml:space="preserve">       Martes 05 Febrero 2013</w:t>
      </w:r>
    </w:p>
    <w:p w:rsidR="00486AB4" w:rsidRPr="00486AB4" w:rsidRDefault="00486AB4" w:rsidP="00486AB4">
      <w:pPr>
        <w:shd w:val="clear" w:color="auto" w:fill="FFFFFF"/>
        <w:spacing w:after="150" w:line="300" w:lineRule="atLeast"/>
        <w:jc w:val="both"/>
        <w:rPr>
          <w:rFonts w:ascii="DroidSansRegular" w:eastAsia="Times New Roman" w:hAnsi="DroidSansRegular" w:cs="Times New Roman"/>
          <w:color w:val="666666"/>
          <w:sz w:val="23"/>
          <w:szCs w:val="23"/>
          <w:lang w:eastAsia="es-MX"/>
        </w:rPr>
      </w:pPr>
      <w:r w:rsidRPr="00486AB4">
        <w:rPr>
          <w:rFonts w:ascii="DroidSansRegular" w:eastAsia="Times New Roman" w:hAnsi="DroidSansRegular" w:cs="Times New Roman"/>
          <w:color w:val="666666"/>
          <w:sz w:val="23"/>
          <w:szCs w:val="23"/>
          <w:lang w:eastAsia="es-MX"/>
        </w:rPr>
        <w:t>.</w:t>
      </w:r>
    </w:p>
    <w:p w:rsidR="00486AB4" w:rsidRPr="00486AB4" w:rsidRDefault="00486AB4" w:rsidP="00486AB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s-MX"/>
        </w:rPr>
      </w:pPr>
      <w:r w:rsidRPr="00486AB4">
        <w:rPr>
          <w:rFonts w:eastAsia="Times New Roman" w:cstheme="minorHAnsi"/>
          <w:b/>
          <w:bCs/>
          <w:sz w:val="24"/>
          <w:szCs w:val="24"/>
          <w:lang w:eastAsia="es-MX"/>
        </w:rPr>
        <w:t>La Secretaría de Medio Ambiente y Recursos Naturales (</w:t>
      </w:r>
      <w:proofErr w:type="spellStart"/>
      <w:r w:rsidRPr="00486AB4">
        <w:rPr>
          <w:rFonts w:eastAsia="Times New Roman" w:cstheme="minorHAnsi"/>
          <w:b/>
          <w:bCs/>
          <w:sz w:val="24"/>
          <w:szCs w:val="24"/>
          <w:lang w:eastAsia="es-MX"/>
        </w:rPr>
        <w:t>Semarnat</w:t>
      </w:r>
      <w:proofErr w:type="spellEnd"/>
      <w:r w:rsidRPr="00486AB4">
        <w:rPr>
          <w:rFonts w:eastAsia="Times New Roman" w:cstheme="minorHAnsi"/>
          <w:b/>
          <w:bCs/>
          <w:sz w:val="24"/>
          <w:szCs w:val="24"/>
          <w:lang w:eastAsia="es-MX"/>
        </w:rPr>
        <w:t xml:space="preserve">) rechazó el Informe Preventivo presentado por la Compañía Minera Autlán S.A. de C.V. sobre la petición para autorizar labores de exploración de yacimientos de metales en el municipio de </w:t>
      </w:r>
      <w:proofErr w:type="spellStart"/>
      <w:r w:rsidRPr="00486AB4">
        <w:rPr>
          <w:rFonts w:eastAsia="Times New Roman" w:cstheme="minorHAnsi"/>
          <w:b/>
          <w:bCs/>
          <w:sz w:val="24"/>
          <w:szCs w:val="24"/>
          <w:lang w:eastAsia="es-MX"/>
        </w:rPr>
        <w:t>Tlatlauquitepec</w:t>
      </w:r>
      <w:proofErr w:type="spellEnd"/>
      <w:r w:rsidRPr="00486AB4">
        <w:rPr>
          <w:rFonts w:eastAsia="Times New Roman" w:cstheme="minorHAnsi"/>
          <w:b/>
          <w:bCs/>
          <w:sz w:val="24"/>
          <w:szCs w:val="24"/>
          <w:lang w:eastAsia="es-MX"/>
        </w:rPr>
        <w:t>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En la gaceta ecológica que se publicó el 31 de enero de 2013 se informa que el año pasado –el 12 de diciembre de 2012– la delegación Puebla de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Semarnat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resolvió rechazar el trámite iniciado por la compañía el pasado 13 de noviembre de 2012 con el número 21PU2012MD060.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La Compañía Minera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Autlan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S.A. de C.V. pidió a la dependencia federal autorizar el proyecto de exploración “El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Aretón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”, el cual consiste en trabajos de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barrenación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diamante en un área ubicada al noreste de la comunidad de El Canal y al sur del poblado de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Calatepec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, ampos pertenecientes a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Tlatlauquitepec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, en una zona que colinda con municipios de la Sierra Norte, principalmente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Cuetzalan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y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Zautla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>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Además del proyecto de Autlán, en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Tlatlauquitepec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hay siete más en consideración: Minas “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Atexcaco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3” y “Guadalupe 2”, operadas por Grupo Ferrominero S.A. de C.V.; Mina “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Atexcaco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2”, operada por Compañía Minera Autlán; Mina “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Macuilquila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>”, operada por Minas Santa Martha S.A. de C.V.; Mina “Guadalupe”, operada por Grupo Ferrominero S.A. de C.V.; Mina “Santa Rosa”, operada por José Humberto Canal Castellanos y socios; Mina Paraíso, operada por Real de Gemas S.A. de C.V., y Minas “San Pablo 1” y “San Pablo 2”, operadas por Víctor Manuel Ánimas Arellano.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>Vale la pena destacar que la Compañía Minera Autlán tiene una planta de ferroaleaciones en el municipio de Teziutlán, la cual funciona desde 1950, cuando se comenzó a producir en esa zona norte del estado “ferromanganeso alto carbón”. En 1973 Autlán adquirió la planta llamada entonces “Ferroaleaciones Teziutlán”.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Además de Teziutlán, Autlán tiene plantas y minas en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Naopa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,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Molango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y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Monoalco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, todas en Hidalgo; una más en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Tamós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>, Veracruz, y otra en Gómez Palacios, Durango.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>Proyectos rechazados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La negativa de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Semarnat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al proyecto suma a otras resoluciones que se emitieron en contra de las trasnacionales mineras que han intentado desde inicios de 2012 hacer efectivas sus concesiones para explotación de minas en territorio estatal.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lastRenderedPageBreak/>
        <w:t xml:space="preserve">La primera negativa a proyectos mineros ocurrió en julio de 2012 contra el que tramitó la empresa JDC Minerales S.A. De C.V. para explotar una mina en el municipio de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Zautla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a través del proyecto 21PU2012MD024. Aquí se pretende reactivar en términos de explotación una antigua mina conocida como “Lupe” y ubicada en el pueblo de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Tlamanca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>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Después de esto, en agosto de 2012 contra la exploración del proyecto minero “Espejeras”, promovida por la empresa Minera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Frisco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S.A. de C.V, propiedad de Carlos Slim, el hombre más rico del mundo.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El 16 de enero de 2013, como medida preventiva,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Semarnat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suspendió el proceso de evaluación de la Manifestación de Impacto Ambiental del Proyecto Exploración Espejeras, presentado por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Frisco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>, según consta en la bitácora del proyecto consultado en internet con la clave 21PU2012MD070.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>Autorizaciones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Hasta ahora las empresas que sí tienen autorizado trabajar en las minas por visto bueno de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Semarnat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son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Feldmex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, para la explotación de una mina en el municipio de Zacatlán, así como el permiso a favor de un particular de nombre Enrique Rojas Morán para otra mina en Hermenegildo Galeana. También se autorizó a Minera El Gavilán los trabajos de exploración sobre un yacimiento de oro ubicado en el municipio de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Ixtacamaxtitlán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>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Los tres resolutivos ambientales aprobatorios fueron emitidos por la delegación de la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Semarnat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en Puebla entre los días 12 a 18 de julio de 2012, en medio de la lucha que en Tétela de Ocampo se inició contra los proyectos mineros que suman 75 en el estado.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Otras dos concesiones se ejecutan en el municipio de Zacatlán, en la comunidad de San Miguel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Tenango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, donde la Minera Real del Plata hace exploraciones de oro y plata, y la extracción de feldespato en el predio Ranchito Velázquez a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Feldmex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>, SA de CV.</w:t>
      </w:r>
      <w:r w:rsidRPr="00486AB4">
        <w:rPr>
          <w:rFonts w:eastAsia="Times New Roman" w:cstheme="minorHAnsi"/>
          <w:sz w:val="24"/>
          <w:szCs w:val="24"/>
          <w:lang w:eastAsia="es-MX"/>
        </w:rPr>
        <w:br/>
      </w:r>
      <w:r w:rsidRPr="00486AB4">
        <w:rPr>
          <w:rFonts w:eastAsia="Times New Roman" w:cstheme="minorHAnsi"/>
          <w:sz w:val="24"/>
          <w:szCs w:val="24"/>
          <w:lang w:eastAsia="es-MX"/>
        </w:rPr>
        <w:br/>
        <w:t xml:space="preserve">Una más es la otorgada para la exploración de oro y plata en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Camocuautlaque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, que fue entregada a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Almaden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Mineral de origen canadiense, que además está a cargo, junto con otra empresa de la misma nacionalidad: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Pinnacle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 de México, de la búsqueda de oro, plata y cobre en el municipio de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Ixtacamaxtitlán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 xml:space="preserve">, concretamente en los pueblos de Santa María y San Miguel </w:t>
      </w:r>
      <w:proofErr w:type="spellStart"/>
      <w:r w:rsidRPr="00486AB4">
        <w:rPr>
          <w:rFonts w:eastAsia="Times New Roman" w:cstheme="minorHAnsi"/>
          <w:sz w:val="24"/>
          <w:szCs w:val="24"/>
          <w:lang w:eastAsia="es-MX"/>
        </w:rPr>
        <w:t>Tuligtic</w:t>
      </w:r>
      <w:proofErr w:type="spellEnd"/>
      <w:r w:rsidRPr="00486AB4">
        <w:rPr>
          <w:rFonts w:eastAsia="Times New Roman" w:cstheme="minorHAnsi"/>
          <w:sz w:val="24"/>
          <w:szCs w:val="24"/>
          <w:lang w:eastAsia="es-MX"/>
        </w:rPr>
        <w:t>.</w:t>
      </w:r>
    </w:p>
    <w:p w:rsidR="0031439D" w:rsidRPr="00486AB4" w:rsidRDefault="0031439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1439D" w:rsidRPr="00486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F7A"/>
    <w:multiLevelType w:val="multilevel"/>
    <w:tmpl w:val="1E94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B4"/>
    <w:rsid w:val="00052026"/>
    <w:rsid w:val="00086333"/>
    <w:rsid w:val="0013123B"/>
    <w:rsid w:val="0031439D"/>
    <w:rsid w:val="003D6ABD"/>
    <w:rsid w:val="00486AB4"/>
    <w:rsid w:val="004A0E17"/>
    <w:rsid w:val="00652EC7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8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6AB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86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86AB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8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6AB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86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86AB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60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1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79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38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72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EBEBE"/>
                <w:bottom w:val="single" w:sz="6" w:space="0" w:color="BEBEBE"/>
                <w:right w:val="none" w:sz="0" w:space="0" w:color="auto"/>
              </w:divBdr>
              <w:divsChild>
                <w:div w:id="307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1472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2013-02-06T20:05:00Z</dcterms:created>
  <dcterms:modified xsi:type="dcterms:W3CDTF">2013-02-06T20:07:00Z</dcterms:modified>
</cp:coreProperties>
</file>